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01" w:rsidRPr="00792B4E" w:rsidRDefault="00E81001" w:rsidP="003A625C">
      <w:pPr>
        <w:tabs>
          <w:tab w:val="left" w:pos="1440"/>
        </w:tabs>
        <w:ind w:left="720"/>
        <w:jc w:val="both"/>
        <w:rPr>
          <w:rFonts w:ascii="Century Gothic" w:hAnsi="Century Gothic" w:cs="Calibri"/>
          <w:b/>
        </w:rPr>
      </w:pPr>
    </w:p>
    <w:p w:rsidR="00E81001" w:rsidRPr="00792B4E" w:rsidRDefault="00E81001" w:rsidP="003A625C">
      <w:pPr>
        <w:jc w:val="both"/>
        <w:rPr>
          <w:rFonts w:ascii="Century Gothic" w:hAnsi="Century Gothic" w:cs="Calibri"/>
          <w:b/>
          <w:u w:val="dotted"/>
        </w:rPr>
      </w:pPr>
      <w:r w:rsidRPr="00792B4E">
        <w:rPr>
          <w:rFonts w:ascii="Century Gothic" w:hAnsi="Century Gothic" w:cs="Calibri"/>
          <w:b/>
        </w:rPr>
        <w:tab/>
      </w:r>
      <w:r w:rsidRPr="00792B4E">
        <w:rPr>
          <w:rFonts w:ascii="Century Gothic" w:hAnsi="Century Gothic" w:cs="Calibri"/>
          <w:b/>
        </w:rPr>
        <w:tab/>
      </w:r>
    </w:p>
    <w:p w:rsidR="00E81001" w:rsidRPr="00792B4E" w:rsidRDefault="00E81001" w:rsidP="003A625C">
      <w:pPr>
        <w:spacing w:before="60"/>
        <w:jc w:val="both"/>
        <w:rPr>
          <w:rFonts w:ascii="Century Gothic" w:hAnsi="Century Gothic" w:cs="Calibri"/>
        </w:rPr>
      </w:pPr>
    </w:p>
    <w:p w:rsidR="00E81001" w:rsidRPr="00792B4E" w:rsidRDefault="00E81001" w:rsidP="003A625C">
      <w:pPr>
        <w:pStyle w:val="Balk3"/>
        <w:numPr>
          <w:ilvl w:val="0"/>
          <w:numId w:val="1"/>
        </w:numPr>
        <w:spacing w:before="60" w:after="60" w:line="240" w:lineRule="auto"/>
        <w:jc w:val="both"/>
        <w:rPr>
          <w:rFonts w:ascii="Century Gothic" w:hAnsi="Century Gothic" w:cs="Calibri"/>
        </w:rPr>
      </w:pPr>
      <w:r w:rsidRPr="00792B4E">
        <w:rPr>
          <w:rFonts w:ascii="Century Gothic" w:hAnsi="Century Gothic" w:cs="Calibri"/>
        </w:rPr>
        <w:t>AMAÇ</w:t>
      </w:r>
    </w:p>
    <w:p w:rsidR="00E81001" w:rsidRPr="00792B4E" w:rsidRDefault="00E81001" w:rsidP="003A625C">
      <w:pPr>
        <w:jc w:val="both"/>
        <w:rPr>
          <w:rFonts w:ascii="Century Gothic" w:hAnsi="Century Gothic" w:cs="Calibri"/>
        </w:rPr>
      </w:pPr>
    </w:p>
    <w:p w:rsidR="00E81001" w:rsidRPr="00792B4E" w:rsidRDefault="00E81001" w:rsidP="003A625C">
      <w:pPr>
        <w:tabs>
          <w:tab w:val="left" w:pos="-720"/>
          <w:tab w:val="left" w:pos="0"/>
        </w:tabs>
        <w:jc w:val="both"/>
        <w:rPr>
          <w:rFonts w:ascii="Century Gothic" w:hAnsi="Century Gothic" w:cs="Calibri"/>
          <w:lang w:val="en-AU"/>
        </w:rPr>
      </w:pPr>
      <w:r w:rsidRPr="00792B4E">
        <w:rPr>
          <w:rFonts w:ascii="Century Gothic" w:hAnsi="Century Gothic" w:cs="Calibri"/>
        </w:rPr>
        <w:t xml:space="preserve">Bu prosedürün amacı Hastanede İş Sağlığı ve Güvenliği konularında verilecek Eğitimlerin planlama, uygulama ve standartlarının belirlenmesi ve </w:t>
      </w:r>
      <w:r w:rsidRPr="00792B4E">
        <w:rPr>
          <w:rFonts w:ascii="Century Gothic" w:hAnsi="Century Gothic" w:cs="Calibri"/>
          <w:lang w:val="en-AU"/>
        </w:rPr>
        <w:t>personelin bu prosedürde belirlenmiş eğitim planlarına göre verilen eğitimlerin çalışma alanlarında uygulamasını sağlamaktır.</w:t>
      </w:r>
    </w:p>
    <w:p w:rsidR="00E81001" w:rsidRPr="00792B4E" w:rsidRDefault="00E81001" w:rsidP="003A625C">
      <w:pPr>
        <w:tabs>
          <w:tab w:val="left" w:pos="-720"/>
          <w:tab w:val="left" w:pos="0"/>
        </w:tabs>
        <w:jc w:val="both"/>
        <w:rPr>
          <w:rFonts w:ascii="Century Gothic" w:hAnsi="Century Gothic" w:cs="Calibri"/>
          <w:lang w:val="en-AU"/>
        </w:rPr>
      </w:pPr>
    </w:p>
    <w:p w:rsidR="00E81001" w:rsidRPr="00792B4E" w:rsidRDefault="00E81001" w:rsidP="003A625C">
      <w:pPr>
        <w:pStyle w:val="Balk3"/>
        <w:numPr>
          <w:ilvl w:val="0"/>
          <w:numId w:val="1"/>
        </w:numPr>
        <w:spacing w:before="60" w:after="60" w:line="240" w:lineRule="auto"/>
        <w:jc w:val="both"/>
        <w:rPr>
          <w:rFonts w:ascii="Century Gothic" w:hAnsi="Century Gothic" w:cs="Calibri"/>
        </w:rPr>
      </w:pPr>
      <w:r w:rsidRPr="00792B4E">
        <w:rPr>
          <w:rFonts w:ascii="Century Gothic" w:hAnsi="Century Gothic" w:cs="Calibri"/>
        </w:rPr>
        <w:t>UYGULAMA ALANI</w:t>
      </w:r>
    </w:p>
    <w:p w:rsidR="00E81001" w:rsidRPr="00792B4E" w:rsidRDefault="00E81001" w:rsidP="003A625C">
      <w:pPr>
        <w:jc w:val="both"/>
        <w:rPr>
          <w:rFonts w:ascii="Century Gothic" w:hAnsi="Century Gothic" w:cs="Calibri"/>
        </w:rPr>
      </w:pPr>
    </w:p>
    <w:p w:rsidR="00E81001" w:rsidRPr="00792B4E" w:rsidRDefault="00E81001" w:rsidP="003A625C">
      <w:pPr>
        <w:tabs>
          <w:tab w:val="num" w:pos="0"/>
        </w:tabs>
        <w:jc w:val="both"/>
        <w:rPr>
          <w:rFonts w:ascii="Century Gothic" w:hAnsi="Century Gothic" w:cs="Calibri"/>
        </w:rPr>
      </w:pPr>
      <w:r w:rsidRPr="00792B4E">
        <w:rPr>
          <w:rFonts w:ascii="Century Gothic" w:hAnsi="Century Gothic" w:cs="Calibri"/>
        </w:rPr>
        <w:t>Hastanedeki tüm çalışanlar</w:t>
      </w:r>
      <w:r w:rsidR="00FC1EE5" w:rsidRPr="00792B4E">
        <w:rPr>
          <w:rFonts w:ascii="Century Gothic" w:hAnsi="Century Gothic" w:cs="Calibri"/>
        </w:rPr>
        <w:t xml:space="preserve"> </w:t>
      </w:r>
      <w:r w:rsidRPr="00792B4E">
        <w:rPr>
          <w:rFonts w:ascii="Century Gothic" w:hAnsi="Century Gothic" w:cs="Calibri"/>
        </w:rPr>
        <w:t>bu uygulama alanı dahilindedir.</w:t>
      </w:r>
    </w:p>
    <w:p w:rsidR="00E81001" w:rsidRPr="00792B4E" w:rsidRDefault="00E81001" w:rsidP="003A625C">
      <w:pPr>
        <w:tabs>
          <w:tab w:val="num" w:pos="0"/>
        </w:tabs>
        <w:jc w:val="both"/>
        <w:rPr>
          <w:rFonts w:ascii="Century Gothic" w:hAnsi="Century Gothic" w:cs="Calibri"/>
        </w:rPr>
      </w:pPr>
    </w:p>
    <w:p w:rsidR="00E81001" w:rsidRPr="00792B4E" w:rsidRDefault="00E81001" w:rsidP="003A625C">
      <w:pPr>
        <w:pStyle w:val="Default"/>
        <w:numPr>
          <w:ilvl w:val="0"/>
          <w:numId w:val="13"/>
        </w:numPr>
        <w:spacing w:before="120" w:after="120"/>
        <w:jc w:val="both"/>
        <w:rPr>
          <w:rFonts w:ascii="Century Gothic" w:hAnsi="Century Gothic" w:cs="Calibri"/>
          <w:b/>
          <w:sz w:val="20"/>
          <w:szCs w:val="20"/>
        </w:rPr>
      </w:pPr>
      <w:r w:rsidRPr="00792B4E">
        <w:rPr>
          <w:rFonts w:ascii="Century Gothic" w:hAnsi="Century Gothic" w:cs="Calibri"/>
          <w:b/>
          <w:sz w:val="20"/>
          <w:szCs w:val="20"/>
        </w:rPr>
        <w:t>SORUMLULUK</w:t>
      </w:r>
    </w:p>
    <w:p w:rsidR="00E81001" w:rsidRPr="00792B4E" w:rsidRDefault="00E81001" w:rsidP="003A625C">
      <w:pPr>
        <w:autoSpaceDE w:val="0"/>
        <w:autoSpaceDN w:val="0"/>
        <w:adjustRightInd w:val="0"/>
        <w:ind w:firstLine="360"/>
        <w:jc w:val="both"/>
        <w:rPr>
          <w:rFonts w:ascii="Century Gothic" w:eastAsiaTheme="minorHAnsi" w:hAnsi="Century Gothic" w:cs="Calibri"/>
          <w:b/>
          <w:bCs/>
        </w:rPr>
      </w:pPr>
      <w:r w:rsidRPr="00792B4E">
        <w:rPr>
          <w:rFonts w:ascii="Century Gothic" w:eastAsiaTheme="minorHAnsi" w:hAnsi="Century Gothic" w:cs="Calibri"/>
          <w:b/>
          <w:bCs/>
        </w:rPr>
        <w:t>İşveren/İşveren Vekili</w:t>
      </w:r>
    </w:p>
    <w:p w:rsidR="00E81001" w:rsidRPr="00792B4E" w:rsidRDefault="00E81001" w:rsidP="003A625C">
      <w:pPr>
        <w:pStyle w:val="ListeParagraf"/>
        <w:numPr>
          <w:ilvl w:val="0"/>
          <w:numId w:val="12"/>
        </w:numPr>
        <w:autoSpaceDE w:val="0"/>
        <w:autoSpaceDN w:val="0"/>
        <w:adjustRightInd w:val="0"/>
        <w:spacing w:line="276" w:lineRule="auto"/>
        <w:contextualSpacing/>
        <w:jc w:val="both"/>
        <w:rPr>
          <w:rFonts w:ascii="Century Gothic" w:eastAsiaTheme="minorHAnsi" w:hAnsi="Century Gothic" w:cs="Calibri"/>
        </w:rPr>
      </w:pPr>
      <w:r w:rsidRPr="00792B4E">
        <w:rPr>
          <w:rFonts w:ascii="Century Gothic" w:eastAsiaTheme="minorHAnsi" w:hAnsi="Century Gothic" w:cs="Calibri"/>
        </w:rPr>
        <w:t>Bu prosedürün her aşamada, uygulanması ve sürekliliği için gereken desteği vermekle sorumludur.</w:t>
      </w:r>
    </w:p>
    <w:p w:rsidR="00E81001" w:rsidRPr="00792B4E" w:rsidRDefault="00E81001" w:rsidP="003A625C">
      <w:pPr>
        <w:ind w:left="360"/>
        <w:jc w:val="both"/>
        <w:rPr>
          <w:rFonts w:ascii="Century Gothic" w:hAnsi="Century Gothic" w:cs="Calibri"/>
          <w:b/>
          <w:position w:val="-20"/>
        </w:rPr>
      </w:pPr>
      <w:r w:rsidRPr="00792B4E">
        <w:rPr>
          <w:rFonts w:ascii="Century Gothic" w:hAnsi="Century Gothic" w:cs="Calibri"/>
          <w:b/>
          <w:position w:val="-20"/>
        </w:rPr>
        <w:t>Bölüm Yöneticisi/Bölüm Sorumluları/İSG Profesyonelleri</w:t>
      </w:r>
    </w:p>
    <w:p w:rsidR="00E81001" w:rsidRPr="00792B4E" w:rsidRDefault="00E81001" w:rsidP="003A625C">
      <w:pPr>
        <w:pStyle w:val="ListeParagraf"/>
        <w:numPr>
          <w:ilvl w:val="0"/>
          <w:numId w:val="12"/>
        </w:numPr>
        <w:contextualSpacing/>
        <w:jc w:val="both"/>
        <w:rPr>
          <w:rFonts w:ascii="Century Gothic" w:hAnsi="Century Gothic" w:cs="Calibri"/>
          <w:position w:val="-20"/>
        </w:rPr>
      </w:pPr>
      <w:r w:rsidRPr="00792B4E">
        <w:rPr>
          <w:rFonts w:ascii="Century Gothic" w:hAnsi="Century Gothic" w:cs="Calibri"/>
          <w:position w:val="-20"/>
        </w:rPr>
        <w:t>Bu prosedürde anlatılan tüm faaliyetlerin ilgili lokasyon/bölüm genelinde uygulanması, yürütülmesi ve sürekliliğinin sağlanmasından sorumludur.</w:t>
      </w:r>
    </w:p>
    <w:p w:rsidR="00E81001" w:rsidRPr="00792B4E" w:rsidRDefault="00E81001" w:rsidP="003A625C">
      <w:pPr>
        <w:autoSpaceDE w:val="0"/>
        <w:autoSpaceDN w:val="0"/>
        <w:adjustRightInd w:val="0"/>
        <w:ind w:firstLine="360"/>
        <w:jc w:val="both"/>
        <w:rPr>
          <w:rFonts w:ascii="Century Gothic" w:eastAsiaTheme="minorHAnsi" w:hAnsi="Century Gothic" w:cs="Calibri"/>
          <w:b/>
          <w:bCs/>
        </w:rPr>
      </w:pPr>
      <w:r w:rsidRPr="00792B4E">
        <w:rPr>
          <w:rFonts w:ascii="Century Gothic" w:eastAsiaTheme="minorHAnsi" w:hAnsi="Century Gothic" w:cs="Calibri"/>
          <w:b/>
          <w:bCs/>
        </w:rPr>
        <w:t>Personel/Müşteri/Tedarikçi</w:t>
      </w:r>
    </w:p>
    <w:p w:rsidR="00E81001" w:rsidRPr="00792B4E" w:rsidRDefault="00FC1EE5" w:rsidP="003A625C">
      <w:pPr>
        <w:pStyle w:val="Default"/>
        <w:numPr>
          <w:ilvl w:val="0"/>
          <w:numId w:val="12"/>
        </w:numPr>
        <w:spacing w:before="120" w:after="120"/>
        <w:jc w:val="both"/>
        <w:rPr>
          <w:rFonts w:ascii="Century Gothic" w:hAnsi="Century Gothic" w:cs="Calibri"/>
          <w:sz w:val="20"/>
          <w:szCs w:val="20"/>
        </w:rPr>
      </w:pPr>
      <w:bookmarkStart w:id="0" w:name="_GoBack"/>
      <w:bookmarkEnd w:id="0"/>
      <w:r w:rsidRPr="00792B4E">
        <w:rPr>
          <w:rFonts w:ascii="Century Gothic" w:hAnsi="Century Gothic" w:cs="Calibri"/>
          <w:sz w:val="20"/>
          <w:szCs w:val="20"/>
        </w:rPr>
        <w:t>Hastane</w:t>
      </w:r>
      <w:r w:rsidR="00E81001" w:rsidRPr="00792B4E">
        <w:rPr>
          <w:rFonts w:ascii="Century Gothic" w:hAnsi="Century Gothic" w:cs="Calibri"/>
          <w:sz w:val="20"/>
          <w:szCs w:val="20"/>
        </w:rPr>
        <w:t xml:space="preserve"> bünyesinde çalışan her personel, müşteri ve tedarikçiler bu prosedüre uymakla yükümlüdür.</w:t>
      </w:r>
    </w:p>
    <w:p w:rsidR="00E81001" w:rsidRPr="00792B4E" w:rsidRDefault="00E81001" w:rsidP="003A625C">
      <w:pPr>
        <w:pStyle w:val="Default"/>
        <w:spacing w:before="120" w:after="120"/>
        <w:jc w:val="both"/>
        <w:rPr>
          <w:rFonts w:ascii="Century Gothic" w:hAnsi="Century Gothic" w:cs="Calibri"/>
          <w:sz w:val="20"/>
          <w:szCs w:val="20"/>
        </w:rPr>
      </w:pPr>
    </w:p>
    <w:p w:rsidR="00E81001" w:rsidRPr="00792B4E" w:rsidRDefault="00E81001" w:rsidP="003A625C">
      <w:pPr>
        <w:pStyle w:val="Balk3"/>
        <w:numPr>
          <w:ilvl w:val="0"/>
          <w:numId w:val="13"/>
        </w:numPr>
        <w:spacing w:before="60" w:after="60" w:line="240" w:lineRule="auto"/>
        <w:jc w:val="both"/>
        <w:rPr>
          <w:rFonts w:ascii="Century Gothic" w:hAnsi="Century Gothic" w:cs="Calibri"/>
        </w:rPr>
      </w:pPr>
      <w:r w:rsidRPr="00792B4E">
        <w:rPr>
          <w:rFonts w:ascii="Century Gothic" w:hAnsi="Century Gothic" w:cs="Calibri"/>
        </w:rPr>
        <w:t>TANIMLAR</w:t>
      </w:r>
    </w:p>
    <w:p w:rsidR="00E81001" w:rsidRPr="00792B4E" w:rsidRDefault="00E81001" w:rsidP="003A625C">
      <w:pPr>
        <w:jc w:val="both"/>
        <w:rPr>
          <w:rFonts w:ascii="Century Gothic" w:hAnsi="Century Gothic" w:cs="Calibri"/>
          <w:b/>
        </w:rPr>
      </w:pPr>
    </w:p>
    <w:p w:rsidR="00E81001" w:rsidRPr="00792B4E" w:rsidRDefault="00E81001" w:rsidP="003A625C">
      <w:pPr>
        <w:jc w:val="both"/>
        <w:rPr>
          <w:rFonts w:ascii="Century Gothic" w:hAnsi="Century Gothic" w:cs="Calibri"/>
        </w:rPr>
      </w:pPr>
      <w:r w:rsidRPr="00792B4E">
        <w:rPr>
          <w:rFonts w:ascii="Century Gothic" w:hAnsi="Century Gothic" w:cs="Calibri"/>
          <w:b/>
        </w:rPr>
        <w:t xml:space="preserve">İSG: </w:t>
      </w:r>
      <w:r w:rsidRPr="00792B4E">
        <w:rPr>
          <w:rFonts w:ascii="Century Gothic" w:hAnsi="Century Gothic" w:cs="Calibri"/>
        </w:rPr>
        <w:t>İş Sağlığı ve Güvenliği</w:t>
      </w:r>
    </w:p>
    <w:p w:rsidR="00E81001" w:rsidRPr="00792B4E" w:rsidRDefault="00E81001" w:rsidP="003A625C">
      <w:pPr>
        <w:jc w:val="both"/>
        <w:rPr>
          <w:rFonts w:ascii="Century Gothic" w:hAnsi="Century Gothic" w:cs="Calibri"/>
          <w:b/>
        </w:rPr>
      </w:pPr>
      <w:r w:rsidRPr="00792B4E">
        <w:rPr>
          <w:rFonts w:ascii="Century Gothic" w:hAnsi="Century Gothic" w:cs="Calibri"/>
          <w:b/>
        </w:rPr>
        <w:t>İSG Profesyonelleri:</w:t>
      </w:r>
      <w:r w:rsidRPr="00792B4E">
        <w:rPr>
          <w:rFonts w:ascii="Century Gothic" w:hAnsi="Century Gothic" w:cs="Calibri"/>
        </w:rPr>
        <w:t xml:space="preserve"> İşyeri Hekimi ve İş Güvenliği Uzmanı</w:t>
      </w:r>
    </w:p>
    <w:p w:rsidR="00E81001" w:rsidRPr="00792B4E" w:rsidRDefault="00E81001" w:rsidP="003A625C">
      <w:pPr>
        <w:jc w:val="both"/>
        <w:rPr>
          <w:rFonts w:ascii="Century Gothic" w:hAnsi="Century Gothic" w:cs="Calibri"/>
        </w:rPr>
      </w:pPr>
    </w:p>
    <w:p w:rsidR="00E81001" w:rsidRPr="00792B4E" w:rsidRDefault="00E81001" w:rsidP="003A625C">
      <w:pPr>
        <w:pStyle w:val="ListeParagraf"/>
        <w:numPr>
          <w:ilvl w:val="0"/>
          <w:numId w:val="13"/>
        </w:numPr>
        <w:contextualSpacing/>
        <w:jc w:val="both"/>
        <w:rPr>
          <w:rFonts w:ascii="Century Gothic" w:hAnsi="Century Gothic" w:cs="Calibri"/>
          <w:b/>
        </w:rPr>
      </w:pPr>
      <w:r w:rsidRPr="00792B4E">
        <w:rPr>
          <w:rFonts w:ascii="Century Gothic" w:hAnsi="Century Gothic" w:cs="Calibri"/>
          <w:b/>
        </w:rPr>
        <w:t>PROSEDÜR</w:t>
      </w:r>
    </w:p>
    <w:p w:rsidR="00E81001" w:rsidRPr="00792B4E" w:rsidRDefault="00E81001" w:rsidP="003A625C">
      <w:pPr>
        <w:jc w:val="both"/>
        <w:rPr>
          <w:rFonts w:ascii="Century Gothic" w:hAnsi="Century Gothic" w:cs="Calibri"/>
          <w:b/>
        </w:rPr>
      </w:pPr>
    </w:p>
    <w:p w:rsidR="00E81001" w:rsidRPr="00792B4E" w:rsidRDefault="00E81001" w:rsidP="003A625C">
      <w:pPr>
        <w:pStyle w:val="ListeParagraf"/>
        <w:numPr>
          <w:ilvl w:val="1"/>
          <w:numId w:val="14"/>
        </w:numPr>
        <w:contextualSpacing/>
        <w:jc w:val="both"/>
        <w:rPr>
          <w:rFonts w:ascii="Century Gothic" w:hAnsi="Century Gothic" w:cs="Calibri"/>
          <w:b/>
        </w:rPr>
      </w:pPr>
      <w:r w:rsidRPr="00792B4E">
        <w:rPr>
          <w:rFonts w:ascii="Century Gothic" w:hAnsi="Century Gothic" w:cs="Calibri"/>
          <w:b/>
        </w:rPr>
        <w:t>GENEL UYGULAMALAR</w:t>
      </w:r>
    </w:p>
    <w:p w:rsidR="00E81001" w:rsidRPr="00792B4E" w:rsidRDefault="00E81001" w:rsidP="003A625C">
      <w:pPr>
        <w:jc w:val="both"/>
        <w:rPr>
          <w:rFonts w:ascii="Century Gothic" w:hAnsi="Century Gothic" w:cs="Calibri"/>
        </w:rPr>
      </w:pPr>
    </w:p>
    <w:p w:rsidR="00E81001" w:rsidRPr="00792B4E" w:rsidRDefault="00E81001" w:rsidP="003A625C">
      <w:pPr>
        <w:jc w:val="both"/>
        <w:rPr>
          <w:rFonts w:ascii="Century Gothic" w:hAnsi="Century Gothic" w:cs="Calibri"/>
          <w:bCs/>
          <w:color w:val="FF0000"/>
        </w:rPr>
      </w:pPr>
      <w:r w:rsidRPr="00792B4E">
        <w:rPr>
          <w:rFonts w:ascii="Century Gothic" w:hAnsi="Century Gothic" w:cs="Calibri"/>
        </w:rPr>
        <w:t>İSG Eğitim ve Uygulama Çalışmaları; Yıllık Eğitim Planı, Form, Belge ve Tutanakları ile İş Sağlığı ve Güvenliği Prosedürü, Acil Durum Prosedürü, Risk Değerlendirmesi ve Risk Analizi Prosedürü, etkileşimli ve entegre şekilde uygulanır.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Mevcut çalışmalar üzerinde tüm birimleri kapsayan bir “Yıllık Eğitim Planı” her sene Aralık ayında İSG Profesyonelleri tarafından mevzuatlara uygun olarak hazırlanıp gerekli birimlere dağıtımı yaptırılır.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Yıllık İSG Eğitim Planında belirtilen eğitimler İSG Profesyonelleri ve Birim Yöneticileri tarafından koordinasyonla bir eğitimin künyesi ve tarihi belirlenir.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 xml:space="preserve">Katılımcı profili, tarih, yer ve saat skalaları belirlenmiş eğitim konusu İlgili birimlere ve sorumlulara </w:t>
      </w:r>
      <w:r w:rsidR="003706EA" w:rsidRPr="00792B4E">
        <w:rPr>
          <w:rFonts w:ascii="Century Gothic" w:hAnsi="Century Gothic" w:cs="Calibri"/>
        </w:rPr>
        <w:t xml:space="preserve">en az bir ay </w:t>
      </w:r>
      <w:r w:rsidRPr="00792B4E">
        <w:rPr>
          <w:rFonts w:ascii="Century Gothic" w:hAnsi="Century Gothic" w:cs="Calibri"/>
        </w:rPr>
        <w:t>önceden ilan edilir.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Yapılan eğitimlerde “Eğitim Katılım Formu” ile Katılımcıların ıslak imza ile İSG Eğitimine katılım gerçekleştiği kayıt altına alınır.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İSG Eğitimlerinin planlandığı şekilde konusunda uzman kurum/kişi/kişiler tarafından verilmesinin ardından eğitimin katılımcılar üzerindeki etkilerinin belirlenmesi için “Eğitimin Çalışanlar Üzerindeki Etkilerini Değerlendirme Formu” kullanılarak İSG Profesyonellerince değerlendirme yapılır ve tekrar eğitimi alıp almayacağı veya eksik noktaların geri dönüşü tespit edilir.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lastRenderedPageBreak/>
        <w:t>Katılımcılara iş sağlığı ve güvenliği eğitim konularının verildiğine dair genel eğitim planının gerçekleşmesinin ardından ilgili tutanak ile kayıt altına alınır.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Eğitim ve değerlendirme sonucu tüm katılımcılara firma ünvanı, katılımcı bilgileri, ve gerekli eğitim konularının yer aldığı; İSG Profesyonelleri ve İşveren tarafından imzalanan “Eğitim Katılım Belgesi” verilir.</w:t>
      </w:r>
    </w:p>
    <w:p w:rsidR="00E81001" w:rsidRPr="00792B4E" w:rsidRDefault="00E81001" w:rsidP="003A625C">
      <w:pPr>
        <w:pStyle w:val="ListeParagraf"/>
        <w:numPr>
          <w:ilvl w:val="0"/>
          <w:numId w:val="5"/>
        </w:numPr>
        <w:ind w:left="709" w:hanging="709"/>
        <w:contextualSpacing/>
        <w:jc w:val="both"/>
        <w:rPr>
          <w:rFonts w:ascii="Century Gothic" w:hAnsi="Century Gothic" w:cs="Calibri"/>
        </w:rPr>
      </w:pPr>
      <w:r w:rsidRPr="00792B4E">
        <w:rPr>
          <w:rFonts w:ascii="Century Gothic" w:hAnsi="Century Gothic" w:cs="Calibri"/>
        </w:rPr>
        <w:t>İşbaşı, Acil Durum, Risk Değerlendirilmesi, Resmi/Müşteri Denetimleri sonucu raporlama ile, yeni projeye başlanması ve İş Değişikliklerinden sonra yıllık İSG eğitim planının dışında gerçekleşen durum için gerekli İSG eğitimleri prosedür uygulamasında belirtildiği şekilde gerçekleşir.</w:t>
      </w:r>
    </w:p>
    <w:p w:rsidR="00E81001" w:rsidRPr="00792B4E" w:rsidRDefault="00E81001" w:rsidP="003A625C">
      <w:pPr>
        <w:pStyle w:val="ListeParagraf"/>
        <w:numPr>
          <w:ilvl w:val="0"/>
          <w:numId w:val="3"/>
        </w:numPr>
        <w:tabs>
          <w:tab w:val="num" w:pos="737"/>
          <w:tab w:val="num" w:pos="1440"/>
        </w:tabs>
        <w:ind w:left="720" w:hanging="720"/>
        <w:contextualSpacing/>
        <w:jc w:val="both"/>
        <w:rPr>
          <w:rFonts w:ascii="Century Gothic" w:hAnsi="Century Gothic" w:cs="Calibri"/>
          <w:bCs/>
        </w:rPr>
      </w:pPr>
      <w:r w:rsidRPr="00792B4E">
        <w:rPr>
          <w:rFonts w:ascii="Century Gothic" w:hAnsi="Century Gothic" w:cs="Calibri"/>
          <w:bCs/>
        </w:rPr>
        <w:t xml:space="preserve">İSG Profesyonelleri </w:t>
      </w:r>
      <w:r w:rsidR="003706EA" w:rsidRPr="00792B4E">
        <w:rPr>
          <w:rFonts w:ascii="Century Gothic" w:hAnsi="Century Gothic" w:cs="Calibri"/>
          <w:bCs/>
        </w:rPr>
        <w:t>birimlerde</w:t>
      </w:r>
      <w:r w:rsidRPr="00792B4E">
        <w:rPr>
          <w:rFonts w:ascii="Century Gothic" w:hAnsi="Century Gothic" w:cs="Calibri"/>
          <w:bCs/>
        </w:rPr>
        <w:t xml:space="preserve"> denetimler gerçekleştirerek uygunsuzlukları ve gerçekleştirilen aksiyonları Onaylı Defter’e işleyerek İşveren’e yazılı olarak bildirir.</w:t>
      </w:r>
    </w:p>
    <w:p w:rsidR="00E81001" w:rsidRPr="00792B4E" w:rsidRDefault="00E81001" w:rsidP="003A625C">
      <w:pPr>
        <w:pStyle w:val="ListeParagraf"/>
        <w:numPr>
          <w:ilvl w:val="0"/>
          <w:numId w:val="3"/>
        </w:numPr>
        <w:tabs>
          <w:tab w:val="num" w:pos="737"/>
          <w:tab w:val="num" w:pos="1440"/>
        </w:tabs>
        <w:ind w:left="720" w:hanging="720"/>
        <w:contextualSpacing/>
        <w:jc w:val="both"/>
        <w:rPr>
          <w:rFonts w:ascii="Century Gothic" w:hAnsi="Century Gothic" w:cs="Calibri"/>
          <w:bCs/>
        </w:rPr>
      </w:pPr>
      <w:r w:rsidRPr="00792B4E">
        <w:rPr>
          <w:rFonts w:ascii="Century Gothic" w:hAnsi="Century Gothic" w:cs="Calibri"/>
          <w:bCs/>
        </w:rPr>
        <w:t>Uygunsuzluklar sonucu doğabilecek İSG eğitim gereklilikleri İSG Profesyonelleri tarafından bir sonraki yıl hazırlanacak eğitim planında değerlendirilir. Ayrıca acil verilmesi gereken eğitimler revize ve ilgililere duyuru yolu ile eğitimi uygulamasına uygun şekilde gerçekleştirilir.</w:t>
      </w:r>
    </w:p>
    <w:p w:rsidR="00E81001" w:rsidRPr="00792B4E" w:rsidRDefault="00E81001" w:rsidP="003A625C">
      <w:pPr>
        <w:pStyle w:val="ListeParagraf"/>
        <w:numPr>
          <w:ilvl w:val="0"/>
          <w:numId w:val="3"/>
        </w:numPr>
        <w:tabs>
          <w:tab w:val="num" w:pos="737"/>
          <w:tab w:val="num" w:pos="1440"/>
        </w:tabs>
        <w:ind w:left="720" w:hanging="720"/>
        <w:contextualSpacing/>
        <w:jc w:val="both"/>
        <w:rPr>
          <w:rFonts w:ascii="Century Gothic" w:hAnsi="Century Gothic" w:cs="Calibri"/>
          <w:bCs/>
        </w:rPr>
      </w:pPr>
      <w:r w:rsidRPr="00792B4E">
        <w:rPr>
          <w:rFonts w:ascii="Century Gothic" w:hAnsi="Century Gothic" w:cs="Calibri"/>
          <w:bCs/>
        </w:rPr>
        <w:t>Her İş Kazası, ve Ramak Kala Bildirimlerinin ardından plan dışı eğitimlerle İSG bilincinin artırılması, iş kazalarını önlemek ve azaltmak amacıyla eğitimler verilir.</w:t>
      </w:r>
    </w:p>
    <w:p w:rsidR="00E81001" w:rsidRPr="00792B4E" w:rsidRDefault="00E81001" w:rsidP="003A625C">
      <w:pPr>
        <w:pStyle w:val="ListeParagraf"/>
        <w:numPr>
          <w:ilvl w:val="0"/>
          <w:numId w:val="3"/>
        </w:numPr>
        <w:tabs>
          <w:tab w:val="clear" w:pos="1080"/>
          <w:tab w:val="num" w:pos="709"/>
        </w:tabs>
        <w:ind w:left="709" w:hanging="709"/>
        <w:contextualSpacing/>
        <w:jc w:val="both"/>
        <w:rPr>
          <w:rFonts w:ascii="Century Gothic" w:hAnsi="Century Gothic" w:cs="Calibri"/>
          <w:bCs/>
        </w:rPr>
      </w:pPr>
      <w:r w:rsidRPr="00792B4E">
        <w:rPr>
          <w:rFonts w:ascii="Century Gothic" w:hAnsi="Century Gothic" w:cs="Calibri"/>
          <w:bCs/>
        </w:rPr>
        <w:t xml:space="preserve">İSG Profesyonelleri, İSG Eğitimleri ve uygulamalarını İşveren, İdari Birim, </w:t>
      </w:r>
      <w:r w:rsidR="003706EA" w:rsidRPr="00792B4E">
        <w:rPr>
          <w:rFonts w:ascii="Century Gothic" w:hAnsi="Century Gothic" w:cs="Calibri"/>
          <w:bCs/>
        </w:rPr>
        <w:t>Kalite Güvence, Birim</w:t>
      </w:r>
      <w:r w:rsidRPr="00792B4E">
        <w:rPr>
          <w:rFonts w:ascii="Century Gothic" w:hAnsi="Century Gothic" w:cs="Calibri"/>
          <w:bCs/>
        </w:rPr>
        <w:t xml:space="preserve"> Yöneticileri ile koordineli çalışarak gerçekleştirilir.</w:t>
      </w:r>
    </w:p>
    <w:p w:rsidR="00E81001" w:rsidRPr="00792B4E" w:rsidRDefault="00E81001" w:rsidP="003A625C">
      <w:pPr>
        <w:pStyle w:val="ListeParagraf"/>
        <w:numPr>
          <w:ilvl w:val="0"/>
          <w:numId w:val="3"/>
        </w:numPr>
        <w:tabs>
          <w:tab w:val="clear" w:pos="1080"/>
          <w:tab w:val="num" w:pos="709"/>
        </w:tabs>
        <w:ind w:left="709" w:hanging="709"/>
        <w:contextualSpacing/>
        <w:jc w:val="both"/>
        <w:rPr>
          <w:rFonts w:ascii="Century Gothic" w:hAnsi="Century Gothic" w:cs="Calibri"/>
          <w:bCs/>
        </w:rPr>
      </w:pPr>
      <w:r w:rsidRPr="00792B4E">
        <w:rPr>
          <w:rFonts w:ascii="Century Gothic" w:hAnsi="Century Gothic" w:cs="Calibri"/>
          <w:bCs/>
        </w:rPr>
        <w:t>İSG Profesyonelleri tarafından yılsonunda İSG Kanununda belirtilen Yıllık Değerlendirme Raporu hazırlanır. İşverenin onayı ile Çalışma ve Sosyal Güvenlik Bakanlığı’ na gönderilir.</w:t>
      </w:r>
    </w:p>
    <w:p w:rsidR="00E81001" w:rsidRPr="00792B4E" w:rsidRDefault="00E81001" w:rsidP="003A625C">
      <w:pPr>
        <w:pStyle w:val="ListeParagraf"/>
        <w:numPr>
          <w:ilvl w:val="0"/>
          <w:numId w:val="3"/>
        </w:numPr>
        <w:tabs>
          <w:tab w:val="clear" w:pos="1080"/>
          <w:tab w:val="num" w:pos="709"/>
        </w:tabs>
        <w:ind w:left="709" w:hanging="709"/>
        <w:contextualSpacing/>
        <w:jc w:val="both"/>
        <w:rPr>
          <w:rFonts w:ascii="Century Gothic" w:hAnsi="Century Gothic" w:cs="Calibri"/>
          <w:bCs/>
        </w:rPr>
      </w:pPr>
      <w:r w:rsidRPr="00792B4E">
        <w:rPr>
          <w:rFonts w:ascii="Century Gothic" w:hAnsi="Century Gothic" w:cs="Calibri"/>
          <w:bCs/>
        </w:rPr>
        <w:t>Çalışmalar T.C Kanun, Tüzük ve Yönetmeliklere aykırı olam</w:t>
      </w:r>
    </w:p>
    <w:p w:rsidR="00E81001" w:rsidRPr="00792B4E" w:rsidRDefault="00E81001"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E81001" w:rsidRPr="00792B4E" w:rsidRDefault="00E81001"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FC1EE5" w:rsidRPr="00792B4E" w:rsidRDefault="00FC1EE5" w:rsidP="003A625C">
      <w:pPr>
        <w:jc w:val="both"/>
        <w:rPr>
          <w:rFonts w:ascii="Century Gothic" w:hAnsi="Century Gothic" w:cs="Calibri"/>
          <w:b/>
        </w:rPr>
      </w:pPr>
    </w:p>
    <w:p w:rsidR="00E81001" w:rsidRPr="00792B4E" w:rsidRDefault="00E81001" w:rsidP="003A625C">
      <w:pPr>
        <w:jc w:val="both"/>
        <w:rPr>
          <w:rFonts w:ascii="Century Gothic" w:hAnsi="Century Gothic" w:cs="Calibri"/>
          <w:b/>
        </w:rPr>
      </w:pPr>
    </w:p>
    <w:p w:rsidR="00E81001" w:rsidRPr="00792B4E" w:rsidRDefault="00E81001" w:rsidP="003A625C">
      <w:pPr>
        <w:jc w:val="both"/>
        <w:rPr>
          <w:rFonts w:ascii="Century Gothic" w:hAnsi="Century Gothic" w:cs="Calibri"/>
          <w:b/>
        </w:rPr>
      </w:pPr>
    </w:p>
    <w:tbl>
      <w:tblPr>
        <w:tblpPr w:leftFromText="141" w:rightFromText="141" w:vertAnchor="text" w:horzAnchor="margin" w:tblpY="298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415"/>
        <w:gridCol w:w="3402"/>
        <w:gridCol w:w="3339"/>
      </w:tblGrid>
      <w:tr w:rsidR="00792B4E" w:rsidRPr="00792B4E" w:rsidTr="00792B4E">
        <w:trPr>
          <w:cantSplit/>
          <w:trHeight w:val="91"/>
        </w:trPr>
        <w:tc>
          <w:tcPr>
            <w:tcW w:w="3415" w:type="dxa"/>
            <w:shd w:val="clear" w:color="auto" w:fill="FFFFFF"/>
            <w:vAlign w:val="center"/>
          </w:tcPr>
          <w:p w:rsidR="00792B4E" w:rsidRPr="00792B4E" w:rsidRDefault="00792B4E" w:rsidP="00792B4E">
            <w:pPr>
              <w:pStyle w:val="Altbilgi"/>
              <w:jc w:val="both"/>
              <w:rPr>
                <w:rFonts w:ascii="Century Gothic" w:hAnsi="Century Gothic" w:cs="Calibri"/>
                <w:b/>
              </w:rPr>
            </w:pPr>
            <w:r w:rsidRPr="00792B4E">
              <w:rPr>
                <w:rFonts w:ascii="Century Gothic" w:hAnsi="Century Gothic" w:cs="Calibri"/>
                <w:b/>
              </w:rPr>
              <w:t>Hazırlayan, imza</w:t>
            </w:r>
          </w:p>
        </w:tc>
        <w:tc>
          <w:tcPr>
            <w:tcW w:w="3402" w:type="dxa"/>
            <w:shd w:val="clear" w:color="auto" w:fill="FFFFFF"/>
            <w:vAlign w:val="center"/>
          </w:tcPr>
          <w:p w:rsidR="00792B4E" w:rsidRPr="00792B4E" w:rsidRDefault="00792B4E" w:rsidP="00792B4E">
            <w:pPr>
              <w:pStyle w:val="Altbilgi"/>
              <w:jc w:val="both"/>
              <w:rPr>
                <w:rFonts w:ascii="Century Gothic" w:hAnsi="Century Gothic" w:cs="Calibri"/>
              </w:rPr>
            </w:pPr>
            <w:r w:rsidRPr="00792B4E">
              <w:rPr>
                <w:rFonts w:ascii="Century Gothic" w:hAnsi="Century Gothic" w:cs="Calibri"/>
                <w:b/>
              </w:rPr>
              <w:t xml:space="preserve">Kontrol </w:t>
            </w:r>
            <w:r w:rsidRPr="00792B4E">
              <w:rPr>
                <w:rFonts w:ascii="Century Gothic" w:hAnsi="Century Gothic" w:cs="Calibri"/>
              </w:rPr>
              <w:t xml:space="preserve"> </w:t>
            </w:r>
            <w:r w:rsidRPr="00792B4E">
              <w:rPr>
                <w:rFonts w:ascii="Century Gothic" w:hAnsi="Century Gothic" w:cs="Calibri"/>
                <w:b/>
              </w:rPr>
              <w:t>Eden, imza</w:t>
            </w:r>
          </w:p>
        </w:tc>
        <w:tc>
          <w:tcPr>
            <w:tcW w:w="3339" w:type="dxa"/>
            <w:shd w:val="clear" w:color="auto" w:fill="FFFFFF"/>
            <w:vAlign w:val="center"/>
          </w:tcPr>
          <w:p w:rsidR="00792B4E" w:rsidRPr="00792B4E" w:rsidRDefault="00792B4E" w:rsidP="00792B4E">
            <w:pPr>
              <w:pStyle w:val="Altbilgi"/>
              <w:jc w:val="both"/>
              <w:rPr>
                <w:rFonts w:ascii="Century Gothic" w:hAnsi="Century Gothic" w:cs="Calibri"/>
                <w:b/>
              </w:rPr>
            </w:pPr>
            <w:r w:rsidRPr="00792B4E">
              <w:rPr>
                <w:rFonts w:ascii="Century Gothic" w:hAnsi="Century Gothic" w:cs="Calibri"/>
                <w:b/>
              </w:rPr>
              <w:t>Onaylayan, imza</w:t>
            </w:r>
          </w:p>
        </w:tc>
      </w:tr>
      <w:tr w:rsidR="00792B4E" w:rsidRPr="00792B4E" w:rsidTr="00792B4E">
        <w:trPr>
          <w:cantSplit/>
          <w:trHeight w:val="406"/>
        </w:trPr>
        <w:tc>
          <w:tcPr>
            <w:tcW w:w="3415" w:type="dxa"/>
            <w:shd w:val="clear" w:color="auto" w:fill="FFFFFF"/>
            <w:vAlign w:val="center"/>
          </w:tcPr>
          <w:p w:rsidR="00792B4E" w:rsidRPr="00792B4E" w:rsidRDefault="00792B4E" w:rsidP="00792B4E">
            <w:pPr>
              <w:pStyle w:val="Altbilgi"/>
              <w:jc w:val="both"/>
              <w:rPr>
                <w:rFonts w:ascii="Century Gothic" w:hAnsi="Century Gothic" w:cs="Calibri"/>
              </w:rPr>
            </w:pPr>
            <w:r w:rsidRPr="00792B4E">
              <w:rPr>
                <w:rFonts w:ascii="Century Gothic" w:hAnsi="Century Gothic" w:cs="Calibri"/>
              </w:rPr>
              <w:t>Bölüm Kalite Sorumlusu</w:t>
            </w:r>
          </w:p>
        </w:tc>
        <w:tc>
          <w:tcPr>
            <w:tcW w:w="3402" w:type="dxa"/>
            <w:shd w:val="clear" w:color="auto" w:fill="FFFFFF"/>
            <w:vAlign w:val="center"/>
          </w:tcPr>
          <w:p w:rsidR="00792B4E" w:rsidRPr="00792B4E" w:rsidRDefault="00792B4E" w:rsidP="00792B4E">
            <w:pPr>
              <w:pStyle w:val="Altbilgi"/>
              <w:jc w:val="both"/>
              <w:rPr>
                <w:rFonts w:ascii="Century Gothic" w:hAnsi="Century Gothic" w:cs="Calibri"/>
              </w:rPr>
            </w:pPr>
            <w:r w:rsidRPr="00792B4E">
              <w:rPr>
                <w:rFonts w:ascii="Century Gothic" w:hAnsi="Century Gothic" w:cs="Calibri"/>
              </w:rPr>
              <w:t>Kalite Yönetimi Direktörü</w:t>
            </w:r>
          </w:p>
        </w:tc>
        <w:tc>
          <w:tcPr>
            <w:tcW w:w="3339" w:type="dxa"/>
            <w:shd w:val="clear" w:color="auto" w:fill="FFFFFF"/>
            <w:vAlign w:val="center"/>
          </w:tcPr>
          <w:p w:rsidR="00792B4E" w:rsidRPr="00792B4E" w:rsidRDefault="00792B4E" w:rsidP="00792B4E">
            <w:pPr>
              <w:pStyle w:val="Altbilgi"/>
              <w:jc w:val="both"/>
              <w:rPr>
                <w:rFonts w:ascii="Century Gothic" w:hAnsi="Century Gothic" w:cs="Calibri"/>
              </w:rPr>
            </w:pPr>
            <w:r w:rsidRPr="00792B4E">
              <w:rPr>
                <w:rFonts w:ascii="Century Gothic" w:hAnsi="Century Gothic" w:cs="Calibri"/>
              </w:rPr>
              <w:t>Başhekim Yardımcısı</w:t>
            </w:r>
          </w:p>
          <w:p w:rsidR="00792B4E" w:rsidRPr="00792B4E" w:rsidRDefault="00792B4E" w:rsidP="00792B4E">
            <w:pPr>
              <w:pStyle w:val="Altbilgi"/>
              <w:jc w:val="both"/>
              <w:rPr>
                <w:rFonts w:ascii="Century Gothic" w:hAnsi="Century Gothic" w:cs="Calibri"/>
              </w:rPr>
            </w:pPr>
            <w:r w:rsidRPr="00792B4E">
              <w:rPr>
                <w:rFonts w:ascii="Century Gothic" w:hAnsi="Century Gothic" w:cs="Calibri"/>
              </w:rPr>
              <w:t>Kaliteden Sorumlu</w:t>
            </w:r>
          </w:p>
        </w:tc>
      </w:tr>
      <w:tr w:rsidR="00792B4E" w:rsidRPr="00792B4E" w:rsidTr="00792B4E">
        <w:trPr>
          <w:cantSplit/>
          <w:trHeight w:val="406"/>
        </w:trPr>
        <w:tc>
          <w:tcPr>
            <w:tcW w:w="3415" w:type="dxa"/>
            <w:shd w:val="clear" w:color="auto" w:fill="FFFFFF"/>
            <w:vAlign w:val="center"/>
          </w:tcPr>
          <w:p w:rsidR="00792B4E" w:rsidRPr="00792B4E" w:rsidRDefault="00792B4E" w:rsidP="00792B4E">
            <w:pPr>
              <w:pStyle w:val="Altbilgi"/>
              <w:jc w:val="both"/>
              <w:rPr>
                <w:rFonts w:ascii="Century Gothic" w:hAnsi="Century Gothic" w:cs="Calibri"/>
                <w:b/>
              </w:rPr>
            </w:pPr>
          </w:p>
        </w:tc>
        <w:tc>
          <w:tcPr>
            <w:tcW w:w="3402" w:type="dxa"/>
            <w:shd w:val="clear" w:color="auto" w:fill="FFFFFF"/>
            <w:vAlign w:val="center"/>
          </w:tcPr>
          <w:p w:rsidR="00792B4E" w:rsidRPr="00792B4E" w:rsidRDefault="00792B4E" w:rsidP="00792B4E">
            <w:pPr>
              <w:pStyle w:val="Altbilgi"/>
              <w:jc w:val="both"/>
              <w:rPr>
                <w:rFonts w:ascii="Century Gothic" w:hAnsi="Century Gothic" w:cs="Calibri"/>
                <w:b/>
              </w:rPr>
            </w:pPr>
          </w:p>
        </w:tc>
        <w:tc>
          <w:tcPr>
            <w:tcW w:w="3339" w:type="dxa"/>
            <w:shd w:val="clear" w:color="auto" w:fill="FFFFFF"/>
            <w:vAlign w:val="center"/>
          </w:tcPr>
          <w:p w:rsidR="00792B4E" w:rsidRPr="00792B4E" w:rsidRDefault="00792B4E" w:rsidP="00792B4E">
            <w:pPr>
              <w:pStyle w:val="Altbilgi"/>
              <w:jc w:val="both"/>
              <w:rPr>
                <w:rFonts w:ascii="Century Gothic" w:hAnsi="Century Gothic" w:cs="Calibri"/>
                <w:b/>
              </w:rPr>
            </w:pPr>
          </w:p>
        </w:tc>
      </w:tr>
    </w:tbl>
    <w:p w:rsidR="00B07A08" w:rsidRDefault="00B07A08"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Default="00792B4E" w:rsidP="003A625C">
      <w:pPr>
        <w:jc w:val="both"/>
        <w:rPr>
          <w:rFonts w:ascii="Century Gothic" w:hAnsi="Century Gothic" w:cs="Calibri"/>
        </w:rPr>
      </w:pPr>
    </w:p>
    <w:p w:rsidR="00792B4E" w:rsidRPr="00792B4E" w:rsidRDefault="00792B4E" w:rsidP="003A625C">
      <w:pPr>
        <w:jc w:val="both"/>
        <w:rPr>
          <w:rFonts w:ascii="Century Gothic" w:hAnsi="Century Gothic" w:cs="Calibri"/>
        </w:rPr>
      </w:pPr>
    </w:p>
    <w:sectPr w:rsidR="00792B4E" w:rsidRPr="00792B4E" w:rsidSect="0036641E">
      <w:headerReference w:type="default" r:id="rId7"/>
      <w:footerReference w:type="even" r:id="rId8"/>
      <w:footerReference w:type="default" r:id="rId9"/>
      <w:pgSz w:w="11906" w:h="16838"/>
      <w:pgMar w:top="2169" w:right="566" w:bottom="543" w:left="1267" w:header="426"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5F" w:rsidRDefault="0057675F">
      <w:r>
        <w:separator/>
      </w:r>
    </w:p>
  </w:endnote>
  <w:endnote w:type="continuationSeparator" w:id="1">
    <w:p w:rsidR="0057675F" w:rsidRDefault="00576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KGKBNG+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9E153A">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4664DB" w:rsidP="00FB43A4">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5F" w:rsidRDefault="0057675F">
      <w:r>
        <w:separator/>
      </w:r>
    </w:p>
  </w:footnote>
  <w:footnote w:type="continuationSeparator" w:id="1">
    <w:p w:rsidR="0057675F" w:rsidRDefault="00576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8" w:type="dxa"/>
      <w:tblInd w:w="-4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618"/>
      <w:gridCol w:w="5925"/>
      <w:gridCol w:w="1253"/>
      <w:gridCol w:w="1462"/>
    </w:tblGrid>
    <w:tr w:rsidR="00222DC8" w:rsidRPr="00D72D88" w:rsidTr="004B2959">
      <w:trPr>
        <w:cantSplit/>
        <w:trHeight w:val="279"/>
      </w:trPr>
      <w:tc>
        <w:tcPr>
          <w:tcW w:w="1618" w:type="dxa"/>
          <w:vMerge w:val="restart"/>
          <w:shd w:val="clear" w:color="auto" w:fill="FFFFFF"/>
          <w:vAlign w:val="center"/>
        </w:tcPr>
        <w:p w:rsidR="00222DC8" w:rsidRPr="00D72D88" w:rsidRDefault="00D0040A" w:rsidP="00A14237">
          <w:pPr>
            <w:pStyle w:val="Balk4"/>
            <w:rPr>
              <w:rFonts w:ascii="Times New Roman" w:hAnsi="Times New Roman" w:cs="Times New Roman"/>
              <w:color w:val="800000"/>
              <w:sz w:val="20"/>
            </w:rPr>
          </w:pPr>
          <w:r>
            <w:drawing>
              <wp:inline distT="0" distB="0" distL="0" distR="0">
                <wp:extent cx="952500" cy="1171575"/>
                <wp:effectExtent l="19050" t="0" r="0" b="0"/>
                <wp:docPr id="21" name="Resim 21" descr="tiphas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phastane"/>
                        <pic:cNvPicPr>
                          <a:picLocks noChangeAspect="1" noChangeArrowheads="1"/>
                        </pic:cNvPicPr>
                      </pic:nvPicPr>
                      <pic:blipFill>
                        <a:blip r:embed="rId1"/>
                        <a:srcRect/>
                        <a:stretch>
                          <a:fillRect/>
                        </a:stretch>
                      </pic:blipFill>
                      <pic:spPr bwMode="auto">
                        <a:xfrm>
                          <a:off x="0" y="0"/>
                          <a:ext cx="952500" cy="1171575"/>
                        </a:xfrm>
                        <a:prstGeom prst="rect">
                          <a:avLst/>
                        </a:prstGeom>
                        <a:noFill/>
                        <a:ln w="9525">
                          <a:noFill/>
                          <a:miter lim="800000"/>
                          <a:headEnd/>
                          <a:tailEnd/>
                        </a:ln>
                      </pic:spPr>
                    </pic:pic>
                  </a:graphicData>
                </a:graphic>
              </wp:inline>
            </w:drawing>
          </w:r>
        </w:p>
      </w:tc>
      <w:tc>
        <w:tcPr>
          <w:tcW w:w="5925" w:type="dxa"/>
          <w:vMerge w:val="restart"/>
          <w:shd w:val="clear" w:color="auto" w:fill="FFFFFF"/>
          <w:vAlign w:val="center"/>
        </w:tcPr>
        <w:p w:rsidR="00222DC8" w:rsidRPr="004B2959" w:rsidRDefault="00222DC8" w:rsidP="00A14237">
          <w:pPr>
            <w:pStyle w:val="Balk1"/>
            <w:rPr>
              <w:rFonts w:ascii="Century Gothic" w:hAnsi="Century Gothic"/>
              <w:sz w:val="20"/>
            </w:rPr>
          </w:pPr>
          <w:r w:rsidRPr="004B2959">
            <w:rPr>
              <w:rFonts w:ascii="Century Gothic" w:hAnsi="Century Gothic"/>
              <w:sz w:val="20"/>
            </w:rPr>
            <w:t xml:space="preserve">SELÇUK ÜNİVERSİTESİ      </w:t>
          </w:r>
        </w:p>
        <w:p w:rsidR="00222DC8" w:rsidRPr="004B2959" w:rsidRDefault="00222DC8" w:rsidP="00A14237">
          <w:pPr>
            <w:pStyle w:val="Balk1"/>
            <w:rPr>
              <w:rFonts w:ascii="Century Gothic" w:hAnsi="Century Gothic"/>
              <w:color w:val="333399"/>
              <w:sz w:val="20"/>
            </w:rPr>
          </w:pPr>
          <w:r w:rsidRPr="004B2959">
            <w:rPr>
              <w:rFonts w:ascii="Century Gothic" w:hAnsi="Century Gothic"/>
              <w:sz w:val="20"/>
            </w:rPr>
            <w:t>TIP FAKÜLTESİ HASTANESİ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Dok.Kodu</w:t>
          </w:r>
        </w:p>
      </w:tc>
      <w:tc>
        <w:tcPr>
          <w:tcW w:w="1462" w:type="dxa"/>
          <w:shd w:val="clear" w:color="auto" w:fill="FFFFFF"/>
          <w:vAlign w:val="center"/>
        </w:tcPr>
        <w:p w:rsidR="00222DC8" w:rsidRPr="004B2959" w:rsidRDefault="0044362C" w:rsidP="005E324B">
          <w:pPr>
            <w:rPr>
              <w:rFonts w:ascii="Century Gothic" w:hAnsi="Century Gothic"/>
              <w:noProof/>
              <w:sz w:val="16"/>
              <w:szCs w:val="16"/>
            </w:rPr>
          </w:pPr>
          <w:r>
            <w:rPr>
              <w:rFonts w:ascii="Century Gothic" w:hAnsi="Century Gothic"/>
              <w:noProof/>
              <w:sz w:val="16"/>
              <w:szCs w:val="16"/>
            </w:rPr>
            <w:t>İSG</w:t>
          </w:r>
          <w:r w:rsidR="005E324B">
            <w:rPr>
              <w:rFonts w:ascii="Century Gothic" w:hAnsi="Century Gothic"/>
              <w:noProof/>
              <w:sz w:val="16"/>
              <w:szCs w:val="16"/>
            </w:rPr>
            <w:t>-P</w:t>
          </w:r>
          <w:r w:rsidR="00FC1EE5">
            <w:rPr>
              <w:rFonts w:ascii="Century Gothic" w:hAnsi="Century Gothic"/>
              <w:noProof/>
              <w:sz w:val="16"/>
              <w:szCs w:val="16"/>
            </w:rPr>
            <w:t>-02</w:t>
          </w:r>
        </w:p>
      </w:tc>
    </w:tr>
    <w:tr w:rsidR="00222DC8" w:rsidRPr="00D72D88" w:rsidTr="004B2959">
      <w:trPr>
        <w:cantSplit/>
        <w:trHeight w:val="424"/>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A14237">
          <w:pPr>
            <w:rPr>
              <w:rFonts w:ascii="Century Gothic" w:hAnsi="Century Gothic"/>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Yayın Tarihi</w:t>
          </w:r>
        </w:p>
      </w:tc>
      <w:tc>
        <w:tcPr>
          <w:tcW w:w="1462" w:type="dxa"/>
          <w:shd w:val="clear" w:color="auto" w:fill="FFFFFF"/>
          <w:vAlign w:val="center"/>
        </w:tcPr>
        <w:p w:rsidR="00222DC8" w:rsidRPr="004B2959" w:rsidRDefault="00402D1F" w:rsidP="00FC1EE5">
          <w:pPr>
            <w:rPr>
              <w:rFonts w:ascii="Century Gothic" w:hAnsi="Century Gothic"/>
              <w:noProof/>
              <w:sz w:val="16"/>
              <w:szCs w:val="16"/>
            </w:rPr>
          </w:pPr>
          <w:r>
            <w:rPr>
              <w:rFonts w:ascii="Century Gothic" w:hAnsi="Century Gothic"/>
              <w:noProof/>
              <w:sz w:val="16"/>
              <w:szCs w:val="16"/>
            </w:rPr>
            <w:t>1</w:t>
          </w:r>
          <w:r w:rsidR="000F23AB">
            <w:rPr>
              <w:rFonts w:ascii="Century Gothic" w:hAnsi="Century Gothic"/>
              <w:noProof/>
              <w:sz w:val="16"/>
              <w:szCs w:val="16"/>
            </w:rPr>
            <w:t>3.05.2015</w:t>
          </w:r>
        </w:p>
      </w:tc>
    </w:tr>
    <w:tr w:rsidR="00222DC8" w:rsidRPr="00D72D88" w:rsidTr="004B2959">
      <w:trPr>
        <w:cantSplit/>
        <w:trHeight w:val="416"/>
      </w:trPr>
      <w:tc>
        <w:tcPr>
          <w:tcW w:w="1618" w:type="dxa"/>
          <w:vMerge/>
          <w:shd w:val="clear" w:color="auto" w:fill="FFFFFF"/>
        </w:tcPr>
        <w:p w:rsidR="00222DC8" w:rsidRPr="00D72D88" w:rsidRDefault="00222DC8" w:rsidP="00A14237">
          <w:pPr>
            <w:rPr>
              <w:noProof/>
            </w:rPr>
          </w:pPr>
        </w:p>
      </w:tc>
      <w:tc>
        <w:tcPr>
          <w:tcW w:w="5925" w:type="dxa"/>
          <w:shd w:val="clear" w:color="auto" w:fill="FFFFFF"/>
        </w:tcPr>
        <w:p w:rsidR="00222DC8" w:rsidRPr="004B2959" w:rsidRDefault="0044362C" w:rsidP="0044362C">
          <w:pPr>
            <w:pStyle w:val="Balk1"/>
            <w:rPr>
              <w:rFonts w:ascii="Century Gothic" w:hAnsi="Century Gothic"/>
            </w:rPr>
          </w:pPr>
          <w:r>
            <w:rPr>
              <w:rFonts w:ascii="Century Gothic" w:hAnsi="Century Gothic"/>
              <w:sz w:val="20"/>
            </w:rPr>
            <w:t>İŞYERİ SAĞLIK ve GÜVENLİK</w:t>
          </w:r>
          <w:r w:rsidR="00222DC8" w:rsidRPr="004B2959">
            <w:rPr>
              <w:rFonts w:ascii="Century Gothic" w:hAnsi="Century Gothic"/>
              <w:sz w:val="20"/>
            </w:rPr>
            <w:t xml:space="preserve"> BİRİMİ</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Revizyon No</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r w:rsidRPr="004B2959">
            <w:rPr>
              <w:rFonts w:ascii="Century Gothic" w:hAnsi="Century Gothic"/>
              <w:noProof/>
              <w:sz w:val="16"/>
              <w:szCs w:val="16"/>
            </w:rPr>
            <w:t>00</w:t>
          </w:r>
        </w:p>
      </w:tc>
    </w:tr>
    <w:tr w:rsidR="00222DC8" w:rsidRPr="00D72D88" w:rsidTr="004B2959">
      <w:trPr>
        <w:cantSplit/>
        <w:trHeight w:val="408"/>
      </w:trPr>
      <w:tc>
        <w:tcPr>
          <w:tcW w:w="1618" w:type="dxa"/>
          <w:vMerge/>
          <w:shd w:val="clear" w:color="auto" w:fill="FFFFFF"/>
        </w:tcPr>
        <w:p w:rsidR="00222DC8" w:rsidRPr="00D72D88" w:rsidRDefault="00222DC8" w:rsidP="00A14237">
          <w:pPr>
            <w:rPr>
              <w:noProof/>
            </w:rPr>
          </w:pPr>
        </w:p>
      </w:tc>
      <w:tc>
        <w:tcPr>
          <w:tcW w:w="5925" w:type="dxa"/>
          <w:vMerge w:val="restart"/>
          <w:shd w:val="clear" w:color="auto" w:fill="FFFFFF"/>
          <w:vAlign w:val="center"/>
        </w:tcPr>
        <w:p w:rsidR="00222DC8" w:rsidRPr="00E81001" w:rsidRDefault="00E81001" w:rsidP="00FD690B">
          <w:pPr>
            <w:jc w:val="center"/>
            <w:rPr>
              <w:rFonts w:ascii="Century Gothic" w:hAnsi="Century Gothic" w:cstheme="minorHAnsi"/>
              <w:b/>
              <w:sz w:val="22"/>
            </w:rPr>
          </w:pPr>
          <w:r w:rsidRPr="00E81001">
            <w:rPr>
              <w:rFonts w:ascii="Century Gothic" w:eastAsia="MS Mincho" w:hAnsi="Century Gothic" w:cstheme="minorHAnsi"/>
              <w:b/>
              <w:smallCaps/>
              <w:sz w:val="22"/>
              <w:lang w:eastAsia="ar-SA"/>
            </w:rPr>
            <w:t>İSG EĞİTİM VE UYGULAMA PROSEDÜRÜ</w:t>
          </w: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Rev.Tarihi</w:t>
          </w:r>
        </w:p>
      </w:tc>
      <w:tc>
        <w:tcPr>
          <w:tcW w:w="1462" w:type="dxa"/>
          <w:shd w:val="clear" w:color="auto" w:fill="FFFFFF"/>
          <w:vAlign w:val="center"/>
        </w:tcPr>
        <w:p w:rsidR="00222DC8" w:rsidRPr="004B2959" w:rsidRDefault="00222DC8" w:rsidP="00A14237">
          <w:pPr>
            <w:rPr>
              <w:rFonts w:ascii="Century Gothic" w:hAnsi="Century Gothic"/>
              <w:noProof/>
              <w:sz w:val="16"/>
              <w:szCs w:val="16"/>
            </w:rPr>
          </w:pPr>
        </w:p>
      </w:tc>
    </w:tr>
    <w:tr w:rsidR="00222DC8" w:rsidRPr="00D72D88" w:rsidTr="004B2959">
      <w:trPr>
        <w:cantSplit/>
        <w:trHeight w:val="272"/>
      </w:trPr>
      <w:tc>
        <w:tcPr>
          <w:tcW w:w="1618" w:type="dxa"/>
          <w:vMerge/>
          <w:shd w:val="clear" w:color="auto" w:fill="FFFFFF"/>
        </w:tcPr>
        <w:p w:rsidR="00222DC8" w:rsidRPr="00D72D88" w:rsidRDefault="00222DC8" w:rsidP="00A14237">
          <w:pPr>
            <w:rPr>
              <w:noProof/>
            </w:rPr>
          </w:pPr>
        </w:p>
      </w:tc>
      <w:tc>
        <w:tcPr>
          <w:tcW w:w="5925" w:type="dxa"/>
          <w:vMerge/>
          <w:shd w:val="clear" w:color="auto" w:fill="FFFFFF"/>
        </w:tcPr>
        <w:p w:rsidR="00222DC8" w:rsidRPr="004B2959" w:rsidRDefault="00222DC8" w:rsidP="008D09A9">
          <w:pPr>
            <w:jc w:val="center"/>
            <w:rPr>
              <w:rFonts w:ascii="Century Gothic" w:hAnsi="Century Gothic"/>
              <w:b/>
              <w:noProof/>
            </w:rPr>
          </w:pPr>
        </w:p>
      </w:tc>
      <w:tc>
        <w:tcPr>
          <w:tcW w:w="1253" w:type="dxa"/>
          <w:shd w:val="clear" w:color="auto" w:fill="FFFFFF"/>
          <w:vAlign w:val="center"/>
        </w:tcPr>
        <w:p w:rsidR="00222DC8" w:rsidRPr="004B2959" w:rsidRDefault="00222DC8" w:rsidP="004B2959">
          <w:pPr>
            <w:rPr>
              <w:rFonts w:ascii="Century Gothic" w:hAnsi="Century Gothic"/>
              <w:b/>
              <w:noProof/>
              <w:sz w:val="16"/>
              <w:szCs w:val="16"/>
            </w:rPr>
          </w:pPr>
          <w:r w:rsidRPr="004B2959">
            <w:rPr>
              <w:rFonts w:ascii="Century Gothic" w:hAnsi="Century Gothic"/>
              <w:b/>
              <w:noProof/>
              <w:sz w:val="16"/>
              <w:szCs w:val="16"/>
            </w:rPr>
            <w:t>Sayfa No</w:t>
          </w:r>
        </w:p>
      </w:tc>
      <w:tc>
        <w:tcPr>
          <w:tcW w:w="1462" w:type="dxa"/>
          <w:shd w:val="clear" w:color="auto" w:fill="FFFFFF"/>
          <w:vAlign w:val="center"/>
        </w:tcPr>
        <w:p w:rsidR="00222DC8" w:rsidRPr="004B2959" w:rsidRDefault="009E153A" w:rsidP="00D26552">
          <w:pPr>
            <w:jc w:val="right"/>
            <w:rPr>
              <w:rFonts w:ascii="Century Gothic" w:hAnsi="Century Gothic"/>
              <w:noProof/>
              <w:sz w:val="16"/>
              <w:szCs w:val="16"/>
            </w:rPr>
          </w:pP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PAGE </w:instrText>
          </w:r>
          <w:r w:rsidRPr="004B2959">
            <w:rPr>
              <w:rStyle w:val="SayfaNumaras"/>
              <w:rFonts w:ascii="Century Gothic" w:hAnsi="Century Gothic"/>
              <w:sz w:val="16"/>
              <w:szCs w:val="16"/>
            </w:rPr>
            <w:fldChar w:fldCharType="separate"/>
          </w:r>
          <w:r w:rsidR="00302672">
            <w:rPr>
              <w:rStyle w:val="SayfaNumaras"/>
              <w:rFonts w:ascii="Century Gothic" w:hAnsi="Century Gothic"/>
              <w:noProof/>
              <w:sz w:val="16"/>
              <w:szCs w:val="16"/>
            </w:rPr>
            <w:t>1</w:t>
          </w:r>
          <w:r w:rsidRPr="004B2959">
            <w:rPr>
              <w:rStyle w:val="SayfaNumaras"/>
              <w:rFonts w:ascii="Century Gothic" w:hAnsi="Century Gothic"/>
              <w:sz w:val="16"/>
              <w:szCs w:val="16"/>
            </w:rPr>
            <w:fldChar w:fldCharType="end"/>
          </w:r>
          <w:r w:rsidR="00222DC8" w:rsidRPr="004B2959">
            <w:rPr>
              <w:rStyle w:val="SayfaNumaras"/>
              <w:rFonts w:ascii="Century Gothic" w:hAnsi="Century Gothic"/>
              <w:sz w:val="16"/>
              <w:szCs w:val="16"/>
            </w:rPr>
            <w:t>/</w:t>
          </w:r>
          <w:r w:rsidRPr="004B2959">
            <w:rPr>
              <w:rStyle w:val="SayfaNumaras"/>
              <w:rFonts w:ascii="Century Gothic" w:hAnsi="Century Gothic"/>
              <w:sz w:val="16"/>
              <w:szCs w:val="16"/>
            </w:rPr>
            <w:fldChar w:fldCharType="begin"/>
          </w:r>
          <w:r w:rsidR="00222DC8" w:rsidRPr="004B2959">
            <w:rPr>
              <w:rStyle w:val="SayfaNumaras"/>
              <w:rFonts w:ascii="Century Gothic" w:hAnsi="Century Gothic"/>
              <w:sz w:val="16"/>
              <w:szCs w:val="16"/>
            </w:rPr>
            <w:instrText xml:space="preserve"> NUMPAGES </w:instrText>
          </w:r>
          <w:r w:rsidRPr="004B2959">
            <w:rPr>
              <w:rStyle w:val="SayfaNumaras"/>
              <w:rFonts w:ascii="Century Gothic" w:hAnsi="Century Gothic"/>
              <w:sz w:val="16"/>
              <w:szCs w:val="16"/>
            </w:rPr>
            <w:fldChar w:fldCharType="separate"/>
          </w:r>
          <w:r w:rsidR="00302672">
            <w:rPr>
              <w:rStyle w:val="SayfaNumaras"/>
              <w:rFonts w:ascii="Century Gothic" w:hAnsi="Century Gothic"/>
              <w:noProof/>
              <w:sz w:val="16"/>
              <w:szCs w:val="16"/>
            </w:rPr>
            <w:t>2</w:t>
          </w:r>
          <w:r w:rsidRPr="004B2959">
            <w:rPr>
              <w:rStyle w:val="SayfaNumaras"/>
              <w:rFonts w:ascii="Century Gothic" w:hAnsi="Century Gothic"/>
              <w:sz w:val="16"/>
              <w:szCs w:val="16"/>
            </w:rPr>
            <w:fldChar w:fldCharType="end"/>
          </w:r>
        </w:p>
      </w:tc>
    </w:tr>
  </w:tbl>
  <w:p w:rsidR="004664DB" w:rsidRPr="00E600FC" w:rsidRDefault="004664DB">
    <w:pPr>
      <w:pStyle w:val="stbilgi"/>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61A"/>
    <w:multiLevelType w:val="hybridMultilevel"/>
    <w:tmpl w:val="A46C2FF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nsid w:val="079F044D"/>
    <w:multiLevelType w:val="hybridMultilevel"/>
    <w:tmpl w:val="6E5A0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F61D80"/>
    <w:multiLevelType w:val="hybridMultilevel"/>
    <w:tmpl w:val="FCC0F65C"/>
    <w:lvl w:ilvl="0" w:tplc="DE0CF0C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641E5E"/>
    <w:multiLevelType w:val="hybridMultilevel"/>
    <w:tmpl w:val="024A2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A57BF2"/>
    <w:multiLevelType w:val="hybridMultilevel"/>
    <w:tmpl w:val="B05404E0"/>
    <w:lvl w:ilvl="0" w:tplc="47BC5B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363A26"/>
    <w:multiLevelType w:val="hybridMultilevel"/>
    <w:tmpl w:val="2788F13A"/>
    <w:lvl w:ilvl="0" w:tplc="DE0CF0C2">
      <w:start w:val="1"/>
      <w:numFmt w:val="bullet"/>
      <w:lvlText w:val=""/>
      <w:lvlJc w:val="left"/>
      <w:pPr>
        <w:ind w:left="1620" w:hanging="360"/>
      </w:pPr>
      <w:rPr>
        <w:rFonts w:ascii="Symbol" w:hAnsi="Symbol" w:hint="default"/>
        <w:sz w:val="22"/>
        <w:szCs w:val="22"/>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6">
    <w:nsid w:val="20AB6F85"/>
    <w:multiLevelType w:val="multilevel"/>
    <w:tmpl w:val="E9841792"/>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7A2DC4"/>
    <w:multiLevelType w:val="hybridMultilevel"/>
    <w:tmpl w:val="0152F05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nsid w:val="2F8376C9"/>
    <w:multiLevelType w:val="hybridMultilevel"/>
    <w:tmpl w:val="94AAB91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CBB23A3"/>
    <w:multiLevelType w:val="multilevel"/>
    <w:tmpl w:val="39E67AC2"/>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nsid w:val="3E5056A3"/>
    <w:multiLevelType w:val="hybridMultilevel"/>
    <w:tmpl w:val="A35A41DA"/>
    <w:lvl w:ilvl="0" w:tplc="DE0CF0C2">
      <w:start w:val="1"/>
      <w:numFmt w:val="bullet"/>
      <w:lvlText w:val=""/>
      <w:lvlJc w:val="left"/>
      <w:pPr>
        <w:ind w:left="1068" w:hanging="360"/>
      </w:pPr>
      <w:rPr>
        <w:rFonts w:ascii="Symbol" w:hAnsi="Symbol" w:hint="default"/>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52EB38CF"/>
    <w:multiLevelType w:val="hybridMultilevel"/>
    <w:tmpl w:val="30964FA2"/>
    <w:lvl w:ilvl="0" w:tplc="DE0CF0C2">
      <w:start w:val="1"/>
      <w:numFmt w:val="bullet"/>
      <w:lvlText w:val=""/>
      <w:lvlJc w:val="left"/>
      <w:pPr>
        <w:ind w:left="1080" w:hanging="360"/>
      </w:pPr>
      <w:rPr>
        <w:rFonts w:ascii="Symbol" w:hAnsi="Symbol" w:hint="default"/>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7230FD2"/>
    <w:multiLevelType w:val="hybridMultilevel"/>
    <w:tmpl w:val="43C66A8A"/>
    <w:lvl w:ilvl="0" w:tplc="DE0CF0C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D22CCB"/>
    <w:multiLevelType w:val="multilevel"/>
    <w:tmpl w:val="F6747E5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BFE6A18"/>
    <w:multiLevelType w:val="hybridMultilevel"/>
    <w:tmpl w:val="31A4A7E6"/>
    <w:lvl w:ilvl="0" w:tplc="041F0001">
      <w:start w:val="1"/>
      <w:numFmt w:val="bullet"/>
      <w:lvlText w:val=""/>
      <w:lvlJc w:val="left"/>
      <w:pPr>
        <w:tabs>
          <w:tab w:val="num" w:pos="1080"/>
        </w:tabs>
        <w:ind w:left="1080" w:hanging="360"/>
      </w:pPr>
      <w:rPr>
        <w:rFonts w:ascii="Symbol" w:hAnsi="Symbol" w:hint="default"/>
      </w:rPr>
    </w:lvl>
    <w:lvl w:ilvl="1" w:tplc="F050B71A">
      <w:numFmt w:val="bullet"/>
      <w:lvlText w:val=""/>
      <w:lvlJc w:val="left"/>
      <w:pPr>
        <w:tabs>
          <w:tab w:val="num" w:pos="1440"/>
        </w:tabs>
        <w:ind w:left="1440" w:hanging="360"/>
      </w:pPr>
      <w:rPr>
        <w:rFonts w:ascii="Symbol" w:eastAsia="Times New Roman" w:hAnsi="Symbo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0C866D4"/>
    <w:multiLevelType w:val="hybridMultilevel"/>
    <w:tmpl w:val="591A8D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C47798A"/>
    <w:multiLevelType w:val="hybridMultilevel"/>
    <w:tmpl w:val="C7022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CF0EC9"/>
    <w:multiLevelType w:val="hybridMultilevel"/>
    <w:tmpl w:val="B8D44B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0"/>
  </w:num>
  <w:num w:numId="5">
    <w:abstractNumId w:val="11"/>
  </w:num>
  <w:num w:numId="6">
    <w:abstractNumId w:val="12"/>
  </w:num>
  <w:num w:numId="7">
    <w:abstractNumId w:val="2"/>
  </w:num>
  <w:num w:numId="8">
    <w:abstractNumId w:val="5"/>
  </w:num>
  <w:num w:numId="9">
    <w:abstractNumId w:val="7"/>
  </w:num>
  <w:num w:numId="10">
    <w:abstractNumId w:val="0"/>
  </w:num>
  <w:num w:numId="11">
    <w:abstractNumId w:val="16"/>
  </w:num>
  <w:num w:numId="12">
    <w:abstractNumId w:val="3"/>
  </w:num>
  <w:num w:numId="13">
    <w:abstractNumId w:val="9"/>
  </w:num>
  <w:num w:numId="14">
    <w:abstractNumId w:val="13"/>
  </w:num>
  <w:num w:numId="15">
    <w:abstractNumId w:val="15"/>
  </w:num>
  <w:num w:numId="16">
    <w:abstractNumId w:val="17"/>
  </w:num>
  <w:num w:numId="17">
    <w:abstractNumId w:val="8"/>
  </w:num>
  <w:num w:numId="1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26626">
      <o:colormenu v:ext="edit" fillcolor="none" strokecolor="black" shadowcolor="none"/>
    </o:shapedefaults>
  </w:hdrShapeDefaults>
  <w:footnotePr>
    <w:footnote w:id="0"/>
    <w:footnote w:id="1"/>
  </w:footnotePr>
  <w:endnotePr>
    <w:endnote w:id="0"/>
    <w:endnote w:id="1"/>
  </w:endnotePr>
  <w:compat/>
  <w:rsids>
    <w:rsidRoot w:val="00686A9B"/>
    <w:rsid w:val="0000461F"/>
    <w:rsid w:val="0000494B"/>
    <w:rsid w:val="0001535B"/>
    <w:rsid w:val="00016781"/>
    <w:rsid w:val="00022623"/>
    <w:rsid w:val="00023C3B"/>
    <w:rsid w:val="00025F46"/>
    <w:rsid w:val="00027E59"/>
    <w:rsid w:val="00030457"/>
    <w:rsid w:val="00080CCD"/>
    <w:rsid w:val="000A0396"/>
    <w:rsid w:val="000A728C"/>
    <w:rsid w:val="000B6B02"/>
    <w:rsid w:val="000E4743"/>
    <w:rsid w:val="000E7084"/>
    <w:rsid w:val="000F23AB"/>
    <w:rsid w:val="000F2F1A"/>
    <w:rsid w:val="000F713F"/>
    <w:rsid w:val="0011167A"/>
    <w:rsid w:val="0011361C"/>
    <w:rsid w:val="0012061C"/>
    <w:rsid w:val="00140466"/>
    <w:rsid w:val="00176AA6"/>
    <w:rsid w:val="001803A4"/>
    <w:rsid w:val="00182969"/>
    <w:rsid w:val="00186571"/>
    <w:rsid w:val="00191DF1"/>
    <w:rsid w:val="00194F09"/>
    <w:rsid w:val="00197F5F"/>
    <w:rsid w:val="001A6FB0"/>
    <w:rsid w:val="001B5EFC"/>
    <w:rsid w:val="001C2B23"/>
    <w:rsid w:val="001C3AC3"/>
    <w:rsid w:val="001D79A7"/>
    <w:rsid w:val="001E017D"/>
    <w:rsid w:val="001F3809"/>
    <w:rsid w:val="001F4605"/>
    <w:rsid w:val="001F5B36"/>
    <w:rsid w:val="0021354B"/>
    <w:rsid w:val="00222DC8"/>
    <w:rsid w:val="0022501D"/>
    <w:rsid w:val="002270BE"/>
    <w:rsid w:val="00245138"/>
    <w:rsid w:val="002650BB"/>
    <w:rsid w:val="002654D0"/>
    <w:rsid w:val="00267F1D"/>
    <w:rsid w:val="0028419C"/>
    <w:rsid w:val="002B0C59"/>
    <w:rsid w:val="002B3073"/>
    <w:rsid w:val="002B7C31"/>
    <w:rsid w:val="002C6A21"/>
    <w:rsid w:val="002E507B"/>
    <w:rsid w:val="00300BAD"/>
    <w:rsid w:val="00302672"/>
    <w:rsid w:val="003035D8"/>
    <w:rsid w:val="003159CE"/>
    <w:rsid w:val="00317C62"/>
    <w:rsid w:val="00347553"/>
    <w:rsid w:val="00351E30"/>
    <w:rsid w:val="00351E6F"/>
    <w:rsid w:val="003534A0"/>
    <w:rsid w:val="00357723"/>
    <w:rsid w:val="003614EF"/>
    <w:rsid w:val="0036641E"/>
    <w:rsid w:val="003706EA"/>
    <w:rsid w:val="00371284"/>
    <w:rsid w:val="00382840"/>
    <w:rsid w:val="003A5D81"/>
    <w:rsid w:val="003A625C"/>
    <w:rsid w:val="003C2F9D"/>
    <w:rsid w:val="003C6A61"/>
    <w:rsid w:val="003E300C"/>
    <w:rsid w:val="003F3104"/>
    <w:rsid w:val="003F6189"/>
    <w:rsid w:val="00402D1F"/>
    <w:rsid w:val="00410129"/>
    <w:rsid w:val="00430E96"/>
    <w:rsid w:val="0043392E"/>
    <w:rsid w:val="00440058"/>
    <w:rsid w:val="0044362C"/>
    <w:rsid w:val="00444AE5"/>
    <w:rsid w:val="004577F6"/>
    <w:rsid w:val="0046345A"/>
    <w:rsid w:val="00465606"/>
    <w:rsid w:val="004664DB"/>
    <w:rsid w:val="004778C0"/>
    <w:rsid w:val="00485FFD"/>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62783"/>
    <w:rsid w:val="00562EA7"/>
    <w:rsid w:val="00570996"/>
    <w:rsid w:val="0057675F"/>
    <w:rsid w:val="005843BB"/>
    <w:rsid w:val="00591F8B"/>
    <w:rsid w:val="00592AB5"/>
    <w:rsid w:val="005A651C"/>
    <w:rsid w:val="005B36A2"/>
    <w:rsid w:val="005B795B"/>
    <w:rsid w:val="005C6FFB"/>
    <w:rsid w:val="005C717A"/>
    <w:rsid w:val="005D32EE"/>
    <w:rsid w:val="005E324B"/>
    <w:rsid w:val="005E3CEC"/>
    <w:rsid w:val="005F451A"/>
    <w:rsid w:val="00605381"/>
    <w:rsid w:val="00606BFD"/>
    <w:rsid w:val="00632941"/>
    <w:rsid w:val="006432B4"/>
    <w:rsid w:val="00643CC6"/>
    <w:rsid w:val="00650ABA"/>
    <w:rsid w:val="00652653"/>
    <w:rsid w:val="00661A7A"/>
    <w:rsid w:val="00663E9D"/>
    <w:rsid w:val="00670B3B"/>
    <w:rsid w:val="006764F1"/>
    <w:rsid w:val="00680627"/>
    <w:rsid w:val="00686A9B"/>
    <w:rsid w:val="00691CFB"/>
    <w:rsid w:val="00696216"/>
    <w:rsid w:val="00697D9C"/>
    <w:rsid w:val="006A17D4"/>
    <w:rsid w:val="006A2B56"/>
    <w:rsid w:val="006A60D3"/>
    <w:rsid w:val="006B1EB3"/>
    <w:rsid w:val="006B258C"/>
    <w:rsid w:val="006D7683"/>
    <w:rsid w:val="006F3C4F"/>
    <w:rsid w:val="007201AA"/>
    <w:rsid w:val="00726C33"/>
    <w:rsid w:val="00741BC2"/>
    <w:rsid w:val="00750083"/>
    <w:rsid w:val="00755117"/>
    <w:rsid w:val="007607F0"/>
    <w:rsid w:val="00762FB0"/>
    <w:rsid w:val="00773714"/>
    <w:rsid w:val="0078311F"/>
    <w:rsid w:val="00787372"/>
    <w:rsid w:val="007905FA"/>
    <w:rsid w:val="00792B4E"/>
    <w:rsid w:val="007A447D"/>
    <w:rsid w:val="007C26F9"/>
    <w:rsid w:val="007C6B27"/>
    <w:rsid w:val="007D3A74"/>
    <w:rsid w:val="007D5204"/>
    <w:rsid w:val="00823675"/>
    <w:rsid w:val="008303C3"/>
    <w:rsid w:val="0083289D"/>
    <w:rsid w:val="0083464F"/>
    <w:rsid w:val="00852B22"/>
    <w:rsid w:val="00853ED8"/>
    <w:rsid w:val="008578B6"/>
    <w:rsid w:val="00862F86"/>
    <w:rsid w:val="00877EB2"/>
    <w:rsid w:val="0088240E"/>
    <w:rsid w:val="008B0178"/>
    <w:rsid w:val="008B38F2"/>
    <w:rsid w:val="008B75B4"/>
    <w:rsid w:val="008B7F58"/>
    <w:rsid w:val="008D09A9"/>
    <w:rsid w:val="009038E5"/>
    <w:rsid w:val="00905FB7"/>
    <w:rsid w:val="009114F4"/>
    <w:rsid w:val="00915E82"/>
    <w:rsid w:val="009268CA"/>
    <w:rsid w:val="00950DB0"/>
    <w:rsid w:val="00952785"/>
    <w:rsid w:val="00956018"/>
    <w:rsid w:val="00961971"/>
    <w:rsid w:val="00966C44"/>
    <w:rsid w:val="00967B5B"/>
    <w:rsid w:val="009768DC"/>
    <w:rsid w:val="00981557"/>
    <w:rsid w:val="009857AB"/>
    <w:rsid w:val="0099034F"/>
    <w:rsid w:val="009A2C9C"/>
    <w:rsid w:val="009A5104"/>
    <w:rsid w:val="009B0579"/>
    <w:rsid w:val="009B05D7"/>
    <w:rsid w:val="009B7BA7"/>
    <w:rsid w:val="009C3453"/>
    <w:rsid w:val="009C4BD0"/>
    <w:rsid w:val="009C4C77"/>
    <w:rsid w:val="009E153A"/>
    <w:rsid w:val="009E49D0"/>
    <w:rsid w:val="00A05DD5"/>
    <w:rsid w:val="00A14237"/>
    <w:rsid w:val="00A21795"/>
    <w:rsid w:val="00A41264"/>
    <w:rsid w:val="00A64CCE"/>
    <w:rsid w:val="00A74904"/>
    <w:rsid w:val="00A765B2"/>
    <w:rsid w:val="00A87DF4"/>
    <w:rsid w:val="00A907F1"/>
    <w:rsid w:val="00A96554"/>
    <w:rsid w:val="00A9777E"/>
    <w:rsid w:val="00AA4E54"/>
    <w:rsid w:val="00AB3F21"/>
    <w:rsid w:val="00AC088C"/>
    <w:rsid w:val="00AC2162"/>
    <w:rsid w:val="00AC568C"/>
    <w:rsid w:val="00AC6092"/>
    <w:rsid w:val="00AD4A6D"/>
    <w:rsid w:val="00AD5640"/>
    <w:rsid w:val="00AD71C7"/>
    <w:rsid w:val="00AE25D8"/>
    <w:rsid w:val="00AF03AC"/>
    <w:rsid w:val="00AF36F3"/>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420E"/>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3C5"/>
    <w:rsid w:val="00C12238"/>
    <w:rsid w:val="00C13B59"/>
    <w:rsid w:val="00C26A1D"/>
    <w:rsid w:val="00C3387E"/>
    <w:rsid w:val="00C362A7"/>
    <w:rsid w:val="00C51A72"/>
    <w:rsid w:val="00C81EDC"/>
    <w:rsid w:val="00C82D99"/>
    <w:rsid w:val="00C90727"/>
    <w:rsid w:val="00C9281D"/>
    <w:rsid w:val="00C9417F"/>
    <w:rsid w:val="00C959E8"/>
    <w:rsid w:val="00C95A68"/>
    <w:rsid w:val="00CA2EAD"/>
    <w:rsid w:val="00CB392E"/>
    <w:rsid w:val="00CD1FA9"/>
    <w:rsid w:val="00CD7288"/>
    <w:rsid w:val="00CE1025"/>
    <w:rsid w:val="00CE53C1"/>
    <w:rsid w:val="00D0040A"/>
    <w:rsid w:val="00D0200D"/>
    <w:rsid w:val="00D26552"/>
    <w:rsid w:val="00D26934"/>
    <w:rsid w:val="00D33679"/>
    <w:rsid w:val="00D42682"/>
    <w:rsid w:val="00D51C37"/>
    <w:rsid w:val="00D55CDA"/>
    <w:rsid w:val="00D72D88"/>
    <w:rsid w:val="00D80C78"/>
    <w:rsid w:val="00D95822"/>
    <w:rsid w:val="00DA5526"/>
    <w:rsid w:val="00DC3206"/>
    <w:rsid w:val="00DC45C3"/>
    <w:rsid w:val="00DD5355"/>
    <w:rsid w:val="00DE19B5"/>
    <w:rsid w:val="00DE329F"/>
    <w:rsid w:val="00E01CDA"/>
    <w:rsid w:val="00E2772C"/>
    <w:rsid w:val="00E30C24"/>
    <w:rsid w:val="00E41DF4"/>
    <w:rsid w:val="00E46C37"/>
    <w:rsid w:val="00E5115E"/>
    <w:rsid w:val="00E600FC"/>
    <w:rsid w:val="00E80397"/>
    <w:rsid w:val="00E81001"/>
    <w:rsid w:val="00E92E1B"/>
    <w:rsid w:val="00E952E1"/>
    <w:rsid w:val="00EA21F4"/>
    <w:rsid w:val="00EA5219"/>
    <w:rsid w:val="00EC2ED6"/>
    <w:rsid w:val="00EC44A6"/>
    <w:rsid w:val="00EC6AA4"/>
    <w:rsid w:val="00ED29F0"/>
    <w:rsid w:val="00ED6F35"/>
    <w:rsid w:val="00F04527"/>
    <w:rsid w:val="00F06979"/>
    <w:rsid w:val="00F11286"/>
    <w:rsid w:val="00F21287"/>
    <w:rsid w:val="00F37DC2"/>
    <w:rsid w:val="00F402DD"/>
    <w:rsid w:val="00F672DC"/>
    <w:rsid w:val="00F72052"/>
    <w:rsid w:val="00FB43A4"/>
    <w:rsid w:val="00FC1EE5"/>
    <w:rsid w:val="00FC4FED"/>
    <w:rsid w:val="00FC5B9B"/>
    <w:rsid w:val="00FD690B"/>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colormenu v:ext="edit" fillcolor="none" strokecolor="black"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link w:val="AltbilgiChar"/>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character" w:customStyle="1" w:styleId="AltbilgiChar">
    <w:name w:val="Altbilgi Char"/>
    <w:basedOn w:val="VarsaylanParagrafYazTipi"/>
    <w:link w:val="Altbilgi"/>
    <w:rsid w:val="00E81001"/>
  </w:style>
  <w:style w:type="paragraph" w:customStyle="1" w:styleId="Default">
    <w:name w:val="Default"/>
    <w:rsid w:val="00E81001"/>
    <w:pPr>
      <w:widowControl w:val="0"/>
      <w:autoSpaceDE w:val="0"/>
      <w:autoSpaceDN w:val="0"/>
      <w:adjustRightInd w:val="0"/>
    </w:pPr>
    <w:rPr>
      <w:rFonts w:ascii="KGKBNG+Arial,Bold" w:hAnsi="KGKBNG+Arial,Bold"/>
      <w:color w:val="000000"/>
      <w:sz w:val="24"/>
      <w:szCs w:val="24"/>
    </w:rPr>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630095253">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YAVUZ SERT</cp:lastModifiedBy>
  <cp:revision>14</cp:revision>
  <cp:lastPrinted>2016-05-10T07:38:00Z</cp:lastPrinted>
  <dcterms:created xsi:type="dcterms:W3CDTF">2014-05-14T06:05:00Z</dcterms:created>
  <dcterms:modified xsi:type="dcterms:W3CDTF">2016-05-10T07:53:00Z</dcterms:modified>
</cp:coreProperties>
</file>